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2EE6941" w14:textId="77777777" w:rsidR="008B4C0A" w:rsidRDefault="00055BC9" w:rsidP="00491366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658371C0">
                    <wp:simplePos x="0" y="0"/>
                    <wp:positionH relativeFrom="margin">
                      <wp:posOffset>-665879</wp:posOffset>
                    </wp:positionH>
                    <wp:positionV relativeFrom="page">
                      <wp:posOffset>988828</wp:posOffset>
                    </wp:positionV>
                    <wp:extent cx="7125167" cy="4720856"/>
                    <wp:effectExtent l="19050" t="19050" r="19050" b="22860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4720856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77DBE9A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5E060790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285D158D" w14:textId="77777777" w:rsidR="00313E59" w:rsidRDefault="00313E59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Cahier des Clauses 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Techniques Particulières (C.C.T</w:t>
                                </w: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.P.)</w:t>
                                </w:r>
                              </w:p>
                              <w:p w14:paraId="16108DD4" w14:textId="77777777" w:rsidR="00491366" w:rsidRDefault="00491366" w:rsidP="00491366"/>
                              <w:p w14:paraId="141DBC0F" w14:textId="77777777" w:rsidR="00491366" w:rsidRPr="00491366" w:rsidRDefault="00491366" w:rsidP="00491366">
                                <w:pPr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</w:pP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Annexe </w:t>
                                </w:r>
                                <w:r w:rsidR="006E095C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4</w:t>
                                </w:r>
                                <w:r w:rsidRPr="00491366">
                                  <w:rPr>
                                    <w:rFonts w:ascii="Calibri" w:eastAsiaTheme="majorEastAsia" w:hAnsi="Calibri" w:cs="Calibr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 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: </w:t>
                                </w:r>
                                <w:r w:rsidR="006E095C" w:rsidRPr="006E095C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Exemple de fichiers « pivots »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45pt;margin-top:77.85pt;width:561.05pt;height:371.7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14:paraId="677DBE9A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5E060790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285D158D" w14:textId="77777777" w:rsidR="00313E59" w:rsidRDefault="00313E59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Cahier des Clauses 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Techniques Particulières (C.C.T</w:t>
                          </w: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.P.)</w:t>
                          </w:r>
                        </w:p>
                        <w:p w14:paraId="16108DD4" w14:textId="77777777" w:rsidR="00491366" w:rsidRDefault="00491366" w:rsidP="00491366"/>
                        <w:p w14:paraId="141DBC0F" w14:textId="77777777" w:rsidR="00491366" w:rsidRPr="00491366" w:rsidRDefault="00491366" w:rsidP="00491366">
                          <w:pPr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</w:pP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Annexe </w:t>
                          </w:r>
                          <w:r w:rsidR="006E095C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4</w:t>
                          </w:r>
                          <w:r w:rsidRPr="00491366">
                            <w:rPr>
                              <w:rFonts w:ascii="Calibri" w:eastAsiaTheme="majorEastAsia" w:hAnsi="Calibri" w:cs="Calibr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 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: </w:t>
                          </w:r>
                          <w:r w:rsidR="006E095C" w:rsidRPr="006E095C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Exemple de fichiers « pivots »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.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3C44E36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2CF94163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714E4FA6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64528797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4D28A876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2BD39355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6EC7DCE6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0472462A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2EFA6E3C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5863B762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047EFE4D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16EE7F55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56978B90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0ED1E92F" w14:textId="77777777" w:rsidR="008B4C0A" w:rsidRDefault="00432FF6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40E08064" wp14:editId="7FAA5F3B">
                    <wp:simplePos x="0" y="0"/>
                    <wp:positionH relativeFrom="margin">
                      <wp:posOffset>4760842</wp:posOffset>
                    </wp:positionH>
                    <wp:positionV relativeFrom="margin">
                      <wp:align>bottom</wp:align>
                    </wp:positionV>
                    <wp:extent cx="1662545" cy="646430"/>
                    <wp:effectExtent l="0" t="0" r="0" b="127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DE5BA9E" w14:textId="77777777" w:rsidR="00313E59" w:rsidRDefault="00313E59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CONTRAT SENSIBLE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0E08064" id="Rectangle 39" o:spid="_x0000_s1027" style="position:absolute;left:0;text-align:left;margin-left:374.85pt;margin-top:0;width:130.9pt;height:50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3DE5BA9E" w14:textId="77777777" w:rsidR="00313E59" w:rsidRDefault="00313E59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CONTRAT SENSIBLE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313505FB" w14:textId="77777777" w:rsidR="00491366" w:rsidRDefault="00491366" w:rsidP="00410AFD"/>
        <w:p w14:paraId="5A334C11" w14:textId="77777777" w:rsidR="00491366" w:rsidRDefault="00491366" w:rsidP="00410AFD"/>
        <w:p w14:paraId="7CFA18DD" w14:textId="77777777" w:rsidR="00A62094" w:rsidRDefault="00A62094" w:rsidP="00410AFD"/>
        <w:p w14:paraId="2198DDAF" w14:textId="77777777" w:rsidR="00A62094" w:rsidRDefault="00A62094" w:rsidP="00410AFD"/>
        <w:p w14:paraId="007D3EBF" w14:textId="77777777" w:rsidR="00A62094" w:rsidRDefault="00A62094" w:rsidP="00410AFD"/>
        <w:p w14:paraId="5FDCD364" w14:textId="77777777" w:rsidR="00A62094" w:rsidRDefault="00A62094" w:rsidP="00410AFD"/>
        <w:p w14:paraId="35A69166" w14:textId="77777777" w:rsidR="00A62094" w:rsidRDefault="00A62094" w:rsidP="00410AFD"/>
        <w:p w14:paraId="5224D4D7" w14:textId="77777777" w:rsidR="00A62094" w:rsidRDefault="00A62094" w:rsidP="00410AFD">
          <w:bookmarkStart w:id="0" w:name="_GoBack"/>
          <w:bookmarkEnd w:id="0"/>
        </w:p>
        <w:p w14:paraId="6A060D53" w14:textId="77777777" w:rsidR="00A62094" w:rsidRDefault="00A62094" w:rsidP="00410AFD"/>
        <w:p w14:paraId="053A2576" w14:textId="77777777" w:rsidR="00A62094" w:rsidRDefault="00A62094">
          <w:pPr>
            <w:jc w:val="left"/>
          </w:pPr>
        </w:p>
        <w:p w14:paraId="22BBE075" w14:textId="77777777" w:rsidR="00491366" w:rsidRDefault="00491366" w:rsidP="00410AFD"/>
        <w:p w14:paraId="4532597C" w14:textId="77777777" w:rsidR="00A62094" w:rsidRDefault="00A62094" w:rsidP="00410AFD">
          <w:pPr>
            <w:sectPr w:rsidR="00A62094" w:rsidSect="00302298">
              <w:footerReference w:type="default" r:id="rId12"/>
              <w:headerReference w:type="first" r:id="rId13"/>
              <w:footerReference w:type="first" r:id="rId14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379FC636" w14:textId="77777777" w:rsidR="006E095C" w:rsidRPr="006E095C" w:rsidRDefault="006E095C" w:rsidP="006E095C">
          <w:pPr>
            <w:rPr>
              <w:rStyle w:val="Emphaseple"/>
            </w:rPr>
          </w:pPr>
          <w:r w:rsidRPr="006E095C">
            <w:rPr>
              <w:rStyle w:val="Emphaseple"/>
            </w:rPr>
            <w:lastRenderedPageBreak/>
            <w:t>Le fichier pivot ci-après est un exemple pour des barrières automatiques. Pour chaque famille d’équipements existe un fichier pivot de ce type.</w:t>
          </w:r>
        </w:p>
        <w:p w14:paraId="0783C922" w14:textId="77777777" w:rsidR="006E095C" w:rsidRDefault="006E095C" w:rsidP="00410AFD"/>
        <w:tbl>
          <w:tblPr>
            <w:tblW w:w="20546" w:type="dxa"/>
            <w:tblLayout w:type="fixed"/>
            <w:tblCellMar>
              <w:left w:w="30" w:type="dxa"/>
              <w:right w:w="30" w:type="dxa"/>
            </w:tblCellMar>
            <w:tblLook w:val="0000" w:firstRow="0" w:lastRow="0" w:firstColumn="0" w:lastColumn="0" w:noHBand="0" w:noVBand="0"/>
          </w:tblPr>
          <w:tblGrid>
            <w:gridCol w:w="1023"/>
            <w:gridCol w:w="954"/>
            <w:gridCol w:w="992"/>
            <w:gridCol w:w="1030"/>
            <w:gridCol w:w="850"/>
            <w:gridCol w:w="709"/>
            <w:gridCol w:w="850"/>
            <w:gridCol w:w="993"/>
            <w:gridCol w:w="1419"/>
            <w:gridCol w:w="1237"/>
            <w:gridCol w:w="1701"/>
            <w:gridCol w:w="1559"/>
            <w:gridCol w:w="1276"/>
            <w:gridCol w:w="1417"/>
            <w:gridCol w:w="992"/>
            <w:gridCol w:w="1276"/>
            <w:gridCol w:w="1418"/>
            <w:gridCol w:w="850"/>
          </w:tblGrid>
          <w:tr w:rsidR="006E095C" w14:paraId="57AD3A29" w14:textId="77777777" w:rsidTr="006E095C">
            <w:trPr>
              <w:trHeight w:val="510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5C7C3B6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Nom de l'attribut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BAC1D52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G2D de l'immeuble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4EDA476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G2D du composant</w:t>
                </w:r>
              </w:p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BCB1C42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du niveau du local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A07DE33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G2D du local</w:t>
                </w:r>
              </w:p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E43CA5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Libellé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0F751FE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Date de mise en service</w:t>
                </w:r>
              </w:p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11651F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Quantité</w:t>
                </w:r>
              </w:p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614D07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Observations</w:t>
                </w:r>
              </w:p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D4B546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Identification</w:t>
                </w:r>
              </w:p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B3B0CF5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Type de barrière automatique</w:t>
                </w:r>
              </w:p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6CD443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Automatique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1181690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dernière visite</w:t>
                </w:r>
              </w:p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4264E7C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marque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9D990D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modèle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0575CB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dimension</w:t>
                </w:r>
              </w:p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D84C011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boucle magnétique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C9256A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 xml:space="preserve">type </w:t>
                </w:r>
              </w:p>
            </w:tc>
          </w:tr>
          <w:tr w:rsidR="006E095C" w14:paraId="46BA09CF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9D0B0A" w14:textId="77777777" w:rsidR="006E095C" w:rsidRDefault="006E095C" w:rsidP="00043462">
                <w:r>
                  <w:t>Format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2BD57CC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4DE0CCA" w14:textId="77777777" w:rsidR="006E095C" w:rsidRDefault="006E095C" w:rsidP="00043462">
                <w:r>
                  <w:t>Entier</w:t>
                </w:r>
              </w:p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9D9FDE" w14:textId="77777777" w:rsidR="006E095C" w:rsidRDefault="006E095C" w:rsidP="00043462">
                <w:r>
                  <w:t>Entier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B0AAC24" w14:textId="77777777" w:rsidR="006E095C" w:rsidRDefault="006E095C" w:rsidP="00043462">
                <w:r>
                  <w:t>Entier</w:t>
                </w:r>
              </w:p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7AA62A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3455EDF" w14:textId="77777777" w:rsidR="006E095C" w:rsidRDefault="006E095C" w:rsidP="00043462">
                <w:r>
                  <w:t>Date</w:t>
                </w:r>
              </w:p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553AAD" w14:textId="77777777" w:rsidR="006E095C" w:rsidRDefault="006E095C" w:rsidP="00043462">
                <w:r>
                  <w:t>Entier</w:t>
                </w:r>
              </w:p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BB8B207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928358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C5A7C8" w14:textId="77777777" w:rsidR="006E095C" w:rsidRDefault="006E095C" w:rsidP="00043462">
                <w:r>
                  <w:t>Enumération</w:t>
                </w:r>
              </w:p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BC24AD8" w14:textId="77777777" w:rsidR="006E095C" w:rsidRDefault="006E095C" w:rsidP="00043462">
                <w:r>
                  <w:t>Enumération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BE1A3C" w14:textId="77777777" w:rsidR="006E095C" w:rsidRDefault="006E095C" w:rsidP="00043462">
                <w:r>
                  <w:t>Date</w:t>
                </w:r>
              </w:p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013A80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2E1E03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4226F1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DCBAD4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BF8113D" w14:textId="77777777" w:rsidR="006E095C" w:rsidRDefault="006E095C" w:rsidP="00043462">
                <w:r>
                  <w:t>Texte</w:t>
                </w:r>
              </w:p>
            </w:tc>
          </w:tr>
          <w:tr w:rsidR="006E095C" w14:paraId="79B4B6BD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1720F4" w14:textId="77777777" w:rsidR="006E095C" w:rsidRDefault="006E095C" w:rsidP="00043462">
                <w:r>
                  <w:t>Valeurs autorisés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582E99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006406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09F5C0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2589BD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21D9F9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B3F5C9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E8C8B4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468936E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ECCE55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B477F6" w14:textId="77777777" w:rsidR="006E095C" w:rsidRDefault="006E095C" w:rsidP="00043462">
                <w:proofErr w:type="spellStart"/>
                <w:r>
                  <w:t>Levante</w:t>
                </w:r>
                <w:proofErr w:type="spellEnd"/>
                <w:r>
                  <w:t>, Roulante</w:t>
                </w:r>
              </w:p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B6ACD31" w14:textId="77777777" w:rsidR="006E095C" w:rsidRDefault="006E095C" w:rsidP="00043462">
                <w:r>
                  <w:t>Oui, Non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B4EACD1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48837F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E99A78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D7C6AF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8EE004A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8DF31E" w14:textId="77777777" w:rsidR="006E095C" w:rsidRDefault="006E095C" w:rsidP="00043462"/>
            </w:tc>
          </w:tr>
          <w:tr w:rsidR="006E095C" w14:paraId="5551954E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D35FC8" w14:textId="77777777" w:rsidR="006E095C" w:rsidRDefault="006E095C" w:rsidP="00043462">
                <w:r>
                  <w:t>1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0E3D84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5AE432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F11394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8DE33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C0FE4E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E8BD84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BB603A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673A82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13C51DD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1D4D72" w14:textId="77777777"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30F72A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6DD8C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EE3527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379E539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5B7D31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DEB790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134E568" w14:textId="77777777" w:rsidR="006E095C" w:rsidRDefault="006E095C" w:rsidP="00043462"/>
            </w:tc>
          </w:tr>
          <w:tr w:rsidR="006E095C" w14:paraId="4A1ADBD7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5D9B8F6" w14:textId="77777777" w:rsidR="006E095C" w:rsidRDefault="006E095C" w:rsidP="00043462">
                <w:r>
                  <w:t>2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999738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4B4817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960DE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A5D534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EF0FA58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C0D345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975B49D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9ECDDD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4C8787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8F823C7" w14:textId="77777777"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2816C0C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1AF1A2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6B4B5A3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A8E343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237242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1E31DA1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F4602F" w14:textId="77777777" w:rsidR="006E095C" w:rsidRDefault="006E095C" w:rsidP="00043462"/>
            </w:tc>
          </w:tr>
          <w:tr w:rsidR="006E095C" w14:paraId="52223592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370AF1C" w14:textId="77777777" w:rsidR="006E095C" w:rsidRDefault="006E095C" w:rsidP="00043462">
                <w:r>
                  <w:t>3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FA7D25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9FC237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EAA6A6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81302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CE125D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A33D25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6D9999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AA3E4D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24E0E5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D491A0" w14:textId="77777777"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E37832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870489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5C4AC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116F092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817F511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2179D2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14B55AA" w14:textId="77777777" w:rsidR="006E095C" w:rsidRDefault="006E095C" w:rsidP="00043462"/>
            </w:tc>
          </w:tr>
          <w:tr w:rsidR="006E095C" w14:paraId="13AB947F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6E0194" w14:textId="77777777" w:rsidR="006E095C" w:rsidRDefault="006E095C" w:rsidP="00043462">
                <w:r>
                  <w:t>4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3F2E94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EADD39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35BE67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D6686F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713D44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2485CD4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1E060F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DB4D82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3948F8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B13CA4" w14:textId="77777777"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17044CE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B0C7BE2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F98045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6BA9182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6D1C25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DD6AD7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58AB2B" w14:textId="77777777" w:rsidR="006E095C" w:rsidRDefault="006E095C" w:rsidP="00043462"/>
            </w:tc>
          </w:tr>
          <w:tr w:rsidR="006E095C" w14:paraId="52470000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6C99FD" w14:textId="77777777" w:rsidR="006E095C" w:rsidRDefault="006E095C" w:rsidP="00043462">
                <w:r>
                  <w:t>5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95C4E2F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3041A9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53A90A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88CAC2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D7646B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344518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4B9D09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D42ABA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077EDDA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EC7439" w14:textId="77777777"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33991C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8577F4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5788A3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218EA7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6A45B2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D006F27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B5172E" w14:textId="77777777" w:rsidR="006E095C" w:rsidRDefault="006E095C" w:rsidP="00043462"/>
            </w:tc>
          </w:tr>
          <w:tr w:rsidR="006E095C" w14:paraId="12D02D12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D7D400" w14:textId="77777777" w:rsidR="006E095C" w:rsidRDefault="006E095C" w:rsidP="00043462">
                <w:r>
                  <w:t>6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ECA8DD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170E36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38904FC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A910971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242259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467231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97B50B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092868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600D93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F59A8A" w14:textId="77777777"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368DAE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BE61544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CAAF5E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B65E93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56F470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C27A7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5BA2FFF" w14:textId="77777777" w:rsidR="006E095C" w:rsidRDefault="006E095C" w:rsidP="00043462"/>
            </w:tc>
          </w:tr>
        </w:tbl>
        <w:p w14:paraId="575DC070" w14:textId="77777777" w:rsidR="00491366" w:rsidRDefault="00491366" w:rsidP="00410AFD"/>
        <w:p w14:paraId="42AC6BAB" w14:textId="77777777" w:rsidR="00410AFD" w:rsidRDefault="00253986" w:rsidP="00410AFD"/>
      </w:sdtContent>
    </w:sdt>
    <w:sectPr w:rsidR="00410AFD" w:rsidSect="006E095C">
      <w:pgSz w:w="23811" w:h="16838" w:orient="landscape" w:code="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B110D4" w14:textId="77777777" w:rsidR="00AB4056" w:rsidRDefault="00AB4056" w:rsidP="00EA6B59">
      <w:pPr>
        <w:spacing w:after="0" w:line="240" w:lineRule="auto"/>
      </w:pPr>
      <w:r>
        <w:separator/>
      </w:r>
    </w:p>
  </w:endnote>
  <w:endnote w:type="continuationSeparator" w:id="0">
    <w:p w14:paraId="79F6254B" w14:textId="77777777" w:rsidR="00AB4056" w:rsidRDefault="00AB4056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6EB284D2" w14:textId="77777777" w:rsidR="00313E59" w:rsidRDefault="00313E5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094">
          <w:rPr>
            <w:noProof/>
          </w:rPr>
          <w:t>1</w:t>
        </w:r>
        <w:r>
          <w:fldChar w:fldCharType="end"/>
        </w:r>
      </w:p>
    </w:sdtContent>
  </w:sdt>
  <w:p w14:paraId="519E6C6A" w14:textId="77777777"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95C9B" w14:textId="572747A1" w:rsidR="005D3CBC" w:rsidRDefault="005D3CBC">
    <w:pPr>
      <w:pStyle w:val="Pieddepage"/>
    </w:pPr>
    <w:r>
      <w:t xml:space="preserve">ESID </w:t>
    </w:r>
    <w:r w:rsidR="00275935">
      <w:t>25</w:t>
    </w:r>
    <w:r w:rsidR="00253986">
      <w:rPr>
        <w:rFonts w:ascii="Calibri" w:hAnsi="Calibri" w:cs="Calibri"/>
      </w:rPr>
      <w:t> </w:t>
    </w:r>
    <w:r w:rsidR="00253986">
      <w:t>133 à 135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0D0FA2" w14:textId="77777777" w:rsidR="00AB4056" w:rsidRDefault="00AB4056" w:rsidP="00EA6B59">
      <w:pPr>
        <w:spacing w:after="0" w:line="240" w:lineRule="auto"/>
      </w:pPr>
      <w:r>
        <w:separator/>
      </w:r>
    </w:p>
  </w:footnote>
  <w:footnote w:type="continuationSeparator" w:id="0">
    <w:p w14:paraId="4C4F95AA" w14:textId="77777777" w:rsidR="00AB4056" w:rsidRDefault="00AB4056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217A7" w14:textId="65581A39" w:rsidR="00E159E9" w:rsidRDefault="00E159E9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13A5336E" wp14:editId="43B2D096">
          <wp:simplePos x="0" y="0"/>
          <wp:positionH relativeFrom="column">
            <wp:posOffset>-619125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5D3CBC">
      <w:tab/>
    </w:r>
    <w:r w:rsidR="005D3CBC">
      <w:tab/>
    </w:r>
    <w:r w:rsidR="005D3CBC">
      <w:tab/>
    </w:r>
    <w:r w:rsidR="00275935" w:rsidRPr="00275935">
      <w:t>DAF_2025_000</w:t>
    </w:r>
    <w:r w:rsidR="00F8154E">
      <w:t>689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E4000"/>
    <w:multiLevelType w:val="singleLevel"/>
    <w:tmpl w:val="73E21714"/>
    <w:lvl w:ilvl="0">
      <w:start w:val="1"/>
      <w:numFmt w:val="bullet"/>
      <w:pStyle w:val="retrai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3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4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66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608D"/>
    <w:rsid w:val="000A1E46"/>
    <w:rsid w:val="000B034F"/>
    <w:rsid w:val="000C3633"/>
    <w:rsid w:val="000E63CB"/>
    <w:rsid w:val="000F275F"/>
    <w:rsid w:val="000F38D9"/>
    <w:rsid w:val="00104D53"/>
    <w:rsid w:val="00112E0E"/>
    <w:rsid w:val="00122955"/>
    <w:rsid w:val="00131804"/>
    <w:rsid w:val="00135BF5"/>
    <w:rsid w:val="00155227"/>
    <w:rsid w:val="0015741B"/>
    <w:rsid w:val="001B4AD4"/>
    <w:rsid w:val="001B6330"/>
    <w:rsid w:val="001E366E"/>
    <w:rsid w:val="001E72A0"/>
    <w:rsid w:val="001F378F"/>
    <w:rsid w:val="0020666C"/>
    <w:rsid w:val="00210746"/>
    <w:rsid w:val="00211B4E"/>
    <w:rsid w:val="00211D29"/>
    <w:rsid w:val="0023454E"/>
    <w:rsid w:val="00245272"/>
    <w:rsid w:val="002476A1"/>
    <w:rsid w:val="00250321"/>
    <w:rsid w:val="00253986"/>
    <w:rsid w:val="00260DA9"/>
    <w:rsid w:val="00262BB6"/>
    <w:rsid w:val="00267BD7"/>
    <w:rsid w:val="00275935"/>
    <w:rsid w:val="002A0B70"/>
    <w:rsid w:val="002A7BE1"/>
    <w:rsid w:val="00302298"/>
    <w:rsid w:val="00313E59"/>
    <w:rsid w:val="003200C4"/>
    <w:rsid w:val="00331F9E"/>
    <w:rsid w:val="00341EEF"/>
    <w:rsid w:val="003429B5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7210C"/>
    <w:rsid w:val="004762CE"/>
    <w:rsid w:val="00486D1C"/>
    <w:rsid w:val="00491366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66EA"/>
    <w:rsid w:val="00592674"/>
    <w:rsid w:val="00592D64"/>
    <w:rsid w:val="005B10E0"/>
    <w:rsid w:val="005B20AE"/>
    <w:rsid w:val="005C584E"/>
    <w:rsid w:val="005D3CBC"/>
    <w:rsid w:val="005D5D11"/>
    <w:rsid w:val="005E7372"/>
    <w:rsid w:val="005F1279"/>
    <w:rsid w:val="005F445C"/>
    <w:rsid w:val="005F51D7"/>
    <w:rsid w:val="005F6470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6B33"/>
    <w:rsid w:val="006B767A"/>
    <w:rsid w:val="006C3B18"/>
    <w:rsid w:val="006E095C"/>
    <w:rsid w:val="006F348D"/>
    <w:rsid w:val="00701035"/>
    <w:rsid w:val="00703893"/>
    <w:rsid w:val="00704D92"/>
    <w:rsid w:val="0071039C"/>
    <w:rsid w:val="007159CA"/>
    <w:rsid w:val="00715E62"/>
    <w:rsid w:val="00727941"/>
    <w:rsid w:val="00735C46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C7FA2"/>
    <w:rsid w:val="007F2911"/>
    <w:rsid w:val="007F7034"/>
    <w:rsid w:val="00800A0D"/>
    <w:rsid w:val="00826D76"/>
    <w:rsid w:val="008347FC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62094"/>
    <w:rsid w:val="00A774EA"/>
    <w:rsid w:val="00A97745"/>
    <w:rsid w:val="00AB4056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6694E"/>
    <w:rsid w:val="00D71A45"/>
    <w:rsid w:val="00D7354B"/>
    <w:rsid w:val="00D73F5F"/>
    <w:rsid w:val="00D911DE"/>
    <w:rsid w:val="00DA75A3"/>
    <w:rsid w:val="00DB4FFB"/>
    <w:rsid w:val="00DD0B95"/>
    <w:rsid w:val="00DD14CD"/>
    <w:rsid w:val="00DD2E0E"/>
    <w:rsid w:val="00DE0DDC"/>
    <w:rsid w:val="00DF05C2"/>
    <w:rsid w:val="00E012C2"/>
    <w:rsid w:val="00E159E9"/>
    <w:rsid w:val="00E45982"/>
    <w:rsid w:val="00E64161"/>
    <w:rsid w:val="00E7280E"/>
    <w:rsid w:val="00E87AAE"/>
    <w:rsid w:val="00E970C0"/>
    <w:rsid w:val="00EA5EE9"/>
    <w:rsid w:val="00EA60CB"/>
    <w:rsid w:val="00EA6B59"/>
    <w:rsid w:val="00EC58AD"/>
    <w:rsid w:val="00ED583B"/>
    <w:rsid w:val="00EE10E8"/>
    <w:rsid w:val="00EE55D3"/>
    <w:rsid w:val="00EF6B64"/>
    <w:rsid w:val="00F02DF2"/>
    <w:rsid w:val="00F23173"/>
    <w:rsid w:val="00F24CC0"/>
    <w:rsid w:val="00F31FBC"/>
    <w:rsid w:val="00F5249B"/>
    <w:rsid w:val="00F54BBA"/>
    <w:rsid w:val="00F57581"/>
    <w:rsid w:val="00F62553"/>
    <w:rsid w:val="00F70072"/>
    <w:rsid w:val="00F76739"/>
    <w:rsid w:val="00F8154E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D8867"/>
  <w15:chartTrackingRefBased/>
  <w15:docId w15:val="{DCFF03E9-C05E-40EA-B8FE-4D108546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retrait2">
    <w:name w:val="retrait2"/>
    <w:basedOn w:val="Normal"/>
    <w:semiHidden/>
    <w:rsid w:val="00A62094"/>
    <w:pPr>
      <w:keepLines/>
      <w:numPr>
        <w:numId w:val="2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2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912EF9B-178A-42A7-A136-15E2AA73C380}">
  <ds:schemaRefs>
    <ds:schemaRef ds:uri="http://purl.org/dc/terms/"/>
    <ds:schemaRef ds:uri="http://schemas.openxmlformats.org/package/2006/metadata/core-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DEEF2AA-B281-476E-B4BC-A8A4615476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854208-4034-4DC1-9EB6-9937517FE0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EEA60EE-4617-4056-94CA-D88466A31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1</TotalTime>
  <Pages>2</Pages>
  <Words>118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HUTELLIER Fabien INGE CIVI DEFE</cp:lastModifiedBy>
  <cp:revision>4</cp:revision>
  <dcterms:created xsi:type="dcterms:W3CDTF">2025-05-15T13:22:00Z</dcterms:created>
  <dcterms:modified xsi:type="dcterms:W3CDTF">2025-05-15T13:27:00Z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